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4A591" w14:textId="77777777" w:rsidR="00267359" w:rsidRPr="00E57CA9" w:rsidRDefault="00267359" w:rsidP="0026735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UZASADNIENIE </w:t>
      </w:r>
    </w:p>
    <w:p w14:paraId="74E07BB2" w14:textId="77777777" w:rsidR="00267359" w:rsidRPr="00E57CA9" w:rsidRDefault="00267359" w:rsidP="0026735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62F65B91" w14:textId="77777777" w:rsidR="00267359" w:rsidRPr="00E57CA9" w:rsidRDefault="00267359" w:rsidP="002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Potrzeba i cel wydania rozporządzenia</w:t>
      </w:r>
    </w:p>
    <w:p w14:paraId="2023A5EA" w14:textId="77777777" w:rsidR="00267359" w:rsidRPr="00E57CA9" w:rsidRDefault="00267359" w:rsidP="00267359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12A0CC7D" w14:textId="096D3221" w:rsidR="0030020D" w:rsidRPr="00E57CA9" w:rsidRDefault="00267359" w:rsidP="00F152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Wydanie rozporządzenia Ministra Infrastruktury w sprawie 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wykonywania operacji z użyciem </w:t>
      </w:r>
      <w:r w:rsidR="005308DF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systemu 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bezzałogow</w:t>
      </w:r>
      <w:r w:rsidR="005308DF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ego statku 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powietrzn</w:t>
      </w:r>
      <w:r w:rsidR="005308DF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ego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podyktowane jest koniecznością realizacji upoważnienia ustawowego określonego w z art. 156</w:t>
      </w:r>
      <w:r w:rsidR="00727481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g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ust. </w:t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7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ustawy z dnia 3 lipca 2002 r. – Prawo lotnicze (Dz. U. z 20</w:t>
      </w:r>
      <w:r w:rsidR="00E57CA9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22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poz. </w:t>
      </w:r>
      <w:r w:rsidR="00E57CA9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1235</w:t>
      </w:r>
      <w:r w:rsidR="00937B3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z </w:t>
      </w:r>
      <w:proofErr w:type="spellStart"/>
      <w:r w:rsidR="00937B3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późn</w:t>
      </w:r>
      <w:proofErr w:type="spellEnd"/>
      <w:r w:rsidR="00937B3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 zm.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), zwanej dalej „ustawą – Prawo lotnicze”, dodanego ustawą z dnia … 202</w:t>
      </w:r>
      <w:r w:rsidR="00E57CA9">
        <w:rPr>
          <w:rFonts w:ascii="Times New Roman" w:eastAsia="Times New Roman" w:hAnsi="Times New Roman" w:cs="Arial"/>
          <w:sz w:val="24"/>
          <w:szCs w:val="24"/>
          <w:lang w:eastAsia="pl-PL"/>
        </w:rPr>
        <w:t>3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o zmianie ustawy − Prawo lotnicze oraz niektórych innych ustaw (Dz. U. poz. …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).</w:t>
      </w:r>
    </w:p>
    <w:p w14:paraId="3DD1A004" w14:textId="4943AF4B" w:rsidR="0030020D" w:rsidRPr="00E57CA9" w:rsidRDefault="00267359" w:rsidP="00F152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Przepis art. 156</w:t>
      </w:r>
      <w:r w:rsidR="00727481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g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ust. </w:t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7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ustawy − Prawo lotnicze stanowi, że minister właściwy do spraw transportu</w:t>
      </w:r>
      <w:r w:rsidR="0030020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określi, w drodze rozporządzenia:</w:t>
      </w:r>
    </w:p>
    <w:p w14:paraId="2DF493AB" w14:textId="77777777" w:rsidR="00727481" w:rsidRPr="00E57CA9" w:rsidRDefault="00727481" w:rsidP="00617CE1">
      <w:pPr>
        <w:widowControl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1)</w:t>
      </w: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ab/>
        <w:t>warunki operacyjne wykonywania operacji z użyciem systemu bezzałogowego statku powietrznego w kategorii „otwartej”, o której mowa w art. 4 rozporządzenia nr 2019/947/UE,</w:t>
      </w:r>
    </w:p>
    <w:p w14:paraId="1AD1D546" w14:textId="77777777" w:rsidR="00727481" w:rsidRPr="00E57CA9" w:rsidRDefault="00727481">
      <w:pPr>
        <w:widowControl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2)</w:t>
      </w: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ab/>
        <w:t>warunki operacyjne wykonywania operacji z użyciem systemu bezzałogowego statku powietrznego, warunki eksploatacji systemu bezzałogowego statku powietrznego i wymagania dla tego systemu, w kategorii „szczególnej”, o której mowa w art. 5 rozporządzenia nr 2019/947/UE,</w:t>
      </w:r>
    </w:p>
    <w:p w14:paraId="7EEFA336" w14:textId="77777777" w:rsidR="00F152B8" w:rsidRPr="00E57CA9" w:rsidRDefault="00727481" w:rsidP="006103B6">
      <w:pPr>
        <w:widowControl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3)</w:t>
      </w: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ab/>
        <w:t>warunki operacyjne wykonywania operacji z użyciem systemu bezzałogowego statku powietrznego w kategorii „szczególnej”, o której mowa w art. 5 rozporządzenia nr 2019/947/UE, w ramach klubów lub stowarzyszeń modelarstwa lotniczego</w:t>
      </w:r>
    </w:p>
    <w:p w14:paraId="4A554514" w14:textId="6CB180BD" w:rsidR="00F152B8" w:rsidRPr="004C14B9" w:rsidRDefault="00F152B8" w:rsidP="006103B6">
      <w:pPr>
        <w:widowControl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4)</w:t>
      </w: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ab/>
        <w:t xml:space="preserve">warunki operacyjne wykonywania operacji w zasięgu widoczności wzrokowej (VLOS) z użyciem systemu bezzałogowego statku </w:t>
      </w:r>
      <w:r w:rsidRPr="004C14B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 xml:space="preserve">powietrznego </w:t>
      </w:r>
      <w:r w:rsidR="004C14B9" w:rsidRPr="004C14B9">
        <w:rPr>
          <w:rFonts w:ascii="Times New Roman" w:hAnsi="Times New Roman" w:cs="Times New Roman"/>
          <w:sz w:val="24"/>
          <w:szCs w:val="24"/>
        </w:rPr>
        <w:t>Agencji Bezpieczeństwa Wewnętrznego, Agencji Wywiadu, Służby Kontrwywiadu Wojskowego, Służby Wywiadu Wojskowego, Żandarmerii Wojskowej, Centralnego Biura Antykorupcyjnego, Służby Ochrony Państwa, Policji, Straży Granicznej, Państwowej Straży Pożarnej, Służby Celno-Skarbowej, Służby Więziennej, Państwowe Gospodarstwo Leśne Lasy Państwowe,</w:t>
      </w:r>
      <w:r w:rsidR="004C14B9" w:rsidRPr="004C14B9">
        <w:rPr>
          <w:sz w:val="24"/>
          <w:szCs w:val="24"/>
        </w:rPr>
        <w:t xml:space="preserve"> </w:t>
      </w:r>
      <w:r w:rsidR="004C14B9" w:rsidRPr="004C14B9">
        <w:rPr>
          <w:rFonts w:ascii="Times New Roman" w:hAnsi="Times New Roman" w:cs="Times New Roman"/>
          <w:sz w:val="24"/>
          <w:szCs w:val="24"/>
        </w:rPr>
        <w:t>Wodnego Ochotniczego Pogotowia Ratunkowego, Górskiego Ochotniczego Pogotowia Ratunkowego, Tatrzańskiego Ochotniczego Pogotowia Ratunkowego, operatorów infrastruktury krytycznej lub Inspekcji Ochrony Środowiska</w:t>
      </w:r>
      <w:r w:rsidRPr="004C14B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;</w:t>
      </w:r>
    </w:p>
    <w:p w14:paraId="4447F0D9" w14:textId="7299D4A1" w:rsidR="00727481" w:rsidRPr="00E57CA9" w:rsidRDefault="00F152B8" w:rsidP="00617CE1">
      <w:pPr>
        <w:widowControl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5)</w:t>
      </w: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ab/>
        <w:t xml:space="preserve">warunki operacyjne wykonywania operacji poza zasięgiem widoczności wzrokowej (BVLOS) z użyciem </w:t>
      </w:r>
      <w:r w:rsidR="004C14B9" w:rsidRPr="004C14B9">
        <w:rPr>
          <w:rFonts w:ascii="Times New Roman" w:hAnsi="Times New Roman" w:cs="Times New Roman"/>
          <w:sz w:val="24"/>
          <w:szCs w:val="24"/>
        </w:rPr>
        <w:t>Policji, Żandarmerii Wojskowej,</w:t>
      </w:r>
      <w:r w:rsidR="004C14B9" w:rsidRPr="004C14B9">
        <w:rPr>
          <w:sz w:val="24"/>
          <w:szCs w:val="24"/>
        </w:rPr>
        <w:t xml:space="preserve"> </w:t>
      </w:r>
      <w:r w:rsidR="004C14B9" w:rsidRPr="004C14B9">
        <w:rPr>
          <w:rFonts w:ascii="Times New Roman" w:hAnsi="Times New Roman" w:cs="Times New Roman"/>
          <w:sz w:val="24"/>
          <w:szCs w:val="24"/>
        </w:rPr>
        <w:t>Służby Celno-Skarbowej,</w:t>
      </w:r>
      <w:r w:rsidR="004C14B9" w:rsidRPr="004C14B9">
        <w:rPr>
          <w:sz w:val="24"/>
          <w:szCs w:val="24"/>
        </w:rPr>
        <w:t xml:space="preserve"> </w:t>
      </w:r>
      <w:r w:rsidR="004C14B9" w:rsidRPr="004C14B9">
        <w:rPr>
          <w:rFonts w:ascii="Times New Roman" w:hAnsi="Times New Roman" w:cs="Times New Roman"/>
          <w:sz w:val="24"/>
          <w:szCs w:val="24"/>
        </w:rPr>
        <w:t xml:space="preserve">Wodnego Ochotniczego Pogotowia Ratunkowego, Górskiego Ochotniczego Pogotowia </w:t>
      </w:r>
      <w:r w:rsidR="004C14B9" w:rsidRPr="004C14B9">
        <w:rPr>
          <w:rFonts w:ascii="Times New Roman" w:hAnsi="Times New Roman" w:cs="Times New Roman"/>
          <w:sz w:val="24"/>
          <w:szCs w:val="24"/>
        </w:rPr>
        <w:lastRenderedPageBreak/>
        <w:t>Ratunkowego, Tatrzańskiego Ochotniczego Pogotowia Ratunkowego oraz służb specjalnych, o których mowa w art. 11 ustawy z dnia 24 maja 2002 r. o Agencji Bezpieczeństwa Wewnętrznego oraz Agencji Wywiadu</w:t>
      </w:r>
      <w:r w:rsidR="004C14B9">
        <w:rPr>
          <w:rFonts w:ascii="Times New Roman" w:hAnsi="Times New Roman" w:cs="Times New Roman"/>
          <w:sz w:val="24"/>
          <w:szCs w:val="24"/>
        </w:rPr>
        <w:t xml:space="preserve"> </w:t>
      </w:r>
      <w:r w:rsidR="00617CE1" w:rsidRPr="00E57CA9">
        <w:rPr>
          <w:rFonts w:ascii="Times New Roman" w:hAnsi="Times New Roman" w:cs="Times New Roman"/>
          <w:sz w:val="24"/>
          <w:szCs w:val="24"/>
        </w:rPr>
        <w:t>(Dz. U. z 2022 r. poz. 557</w:t>
      </w:r>
      <w:r w:rsidR="00E57CA9">
        <w:rPr>
          <w:rFonts w:ascii="Times New Roman" w:hAnsi="Times New Roman" w:cs="Times New Roman"/>
          <w:sz w:val="24"/>
          <w:szCs w:val="24"/>
        </w:rPr>
        <w:t xml:space="preserve"> i 1488</w:t>
      </w:r>
      <w:r w:rsidR="00617CE1" w:rsidRPr="00E57CA9">
        <w:rPr>
          <w:rFonts w:ascii="Times New Roman" w:hAnsi="Times New Roman" w:cs="Times New Roman"/>
          <w:sz w:val="24"/>
          <w:szCs w:val="24"/>
        </w:rPr>
        <w:t>)</w:t>
      </w:r>
    </w:p>
    <w:p w14:paraId="16EF93D8" w14:textId="77777777" w:rsidR="0030020D" w:rsidRPr="00E57CA9" w:rsidRDefault="0030020D" w:rsidP="0030020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– uwzględniając 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przepisy Unii Europejskiej,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zasady bezpiecznego korzystania z przestrzeni powietrznej, ochrony środowiska naturalnego 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ochrony prywatności osób trzecich, a także uwzględniając podział na operacje wykonywane z użyciem 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systemów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bezzałogowych 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statków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powietrznych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kategorii „otwartej” oraz w kategorii „szczególnej”, w tym w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ramach klubów i stowarzyszeń modelarstwa lotniczego</w:t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oraz z uwzględnieniem specyfiki operacji wykonywanych w związku z zapewnieniem bezpieczeństwa publicznego, bezpieczeństwa i obronności państwa, ochroną granicy państwowej lub ochroną bezpieczeństwa wewnętrznego, a także przeciwdziałaniem przestępczości środowiskowej oraz prowadzeniem kontroli podmiotów zagrażających temu bezpieczeństwu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14:paraId="0007853D" w14:textId="77777777" w:rsidR="00267359" w:rsidRPr="00E57CA9" w:rsidRDefault="00B13B46" w:rsidP="00A11F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Nowy podział na kategorie operacji wykonywanych przy użyciu 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systemów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bezzałogowych 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statków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powietrznych wynika z przepisów rozporządzenia wykonawczego Komisji (UE) nr 2019/947 z dnia 24 maja 2019 r. w sprawie przepisów i procedur dotyczących eksploatacji bezzałogowych statków powietrznych (Dz. Urz. UE L 152 z 11.06.2019, str. 45</w:t>
      </w:r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z </w:t>
      </w:r>
      <w:proofErr w:type="spellStart"/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późn</w:t>
      </w:r>
      <w:proofErr w:type="spellEnd"/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 zm.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), </w:t>
      </w:r>
      <w:r w:rsidR="00675CE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zwanego dalej „rozporządzeniem wykonawczym”,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którego przepisy wymusiły także odpowiednią zmianę przepisów ustawy – Prawo lotnicze. Przedłożony projekt jest uzupełnieniem tych regulacji i dostosowuje przepisy prawa krajowego do wyżej wymienionego rozporządzenia Unii Europejskiej</w:t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z uwzględnieniem specyfiki operacji wykonywanych w interesie publicznym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14:paraId="3B8F1861" w14:textId="77777777" w:rsidR="00267359" w:rsidRPr="00E57CA9" w:rsidRDefault="00267359" w:rsidP="002673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7BA702F3" w14:textId="77777777" w:rsidR="00267359" w:rsidRPr="00E57CA9" w:rsidRDefault="00F136A2" w:rsidP="002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Zakres regulacji</w:t>
      </w:r>
    </w:p>
    <w:p w14:paraId="51291737" w14:textId="77777777" w:rsidR="00267359" w:rsidRPr="00E57CA9" w:rsidRDefault="00267359" w:rsidP="002673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306C8B66" w14:textId="77777777" w:rsidR="00FF6301" w:rsidRPr="00E57CA9" w:rsidRDefault="00267359" w:rsidP="00F152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Zgodnie z art. 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3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rozporządzenia wykonawczego, 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operacje z użyciem </w:t>
      </w:r>
      <w:r w:rsidR="005308DF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systemu 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bezzałogowego </w:t>
      </w:r>
      <w:r w:rsidR="005308DF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statku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powietrznego mogą być wykonywane w trzech kategoriach. </w:t>
      </w:r>
      <w:r w:rsidR="00FF6301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Przedłożony projekt dotyczy operacji wykonywanych w kategorii „otwartej” oraz w kategorii „szczególnej”</w:t>
      </w:r>
      <w:r w:rsidR="0002288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, w tym w ramach klubów lub stowarzyszeń modelarstwa lotniczego</w:t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oraz operacji wykonywanych w związku z zapewnieniem bezpieczeństwa publicznego, bezpieczeństwa i obronności państwa, ochroną granicy państwowej lub ochroną bezpieczeństwa wewnętrznego, a także przeciwdziałaniem przestępczości środowiskowej oraz prowadzeniem kontroli podmiotów zagrażających temu bezpieczeństwu</w:t>
      </w:r>
      <w:r w:rsidR="000457D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14:paraId="4F2C898B" w14:textId="77777777" w:rsidR="00F136A2" w:rsidRPr="00E57CA9" w:rsidRDefault="00FF6301" w:rsidP="00A11F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Określenie w rozporządzeniu tego typu regulacji wynika z konieczności szczegółowego określenia warunków wykonywania lotów z podziałem na powyżej wskazane kategorie (oraz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lastRenderedPageBreak/>
        <w:t>rodzaje operacji</w:t>
      </w:r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), jak również z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obszernoś</w:t>
      </w:r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ci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tej re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gulacji. Regulacja ta stanowić będzie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to uszczegółowienie 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 uzupełnienie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zasad wykonywania operacji opisanych w 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ustawie – Prawo lotnicze.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Nadmienić należy, że obecnie warunki wykonywania lotów bezzałogowym statkiem powietrznych </w:t>
      </w:r>
      <w:r w:rsidR="0002288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są</w:t>
      </w:r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uregulowan</w:t>
      </w:r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e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rozporządzeniu wydanym na podstawie art. 33 ust.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2 i 4 ustawy – Prawo lotnicze.</w:t>
      </w:r>
    </w:p>
    <w:p w14:paraId="7AA569E4" w14:textId="77777777" w:rsidR="00675CE2" w:rsidRPr="00E57CA9" w:rsidRDefault="00675CE2" w:rsidP="00A11F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Przepis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727481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1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projektowanego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określa zakres przedmiotowy rozporządzenia.</w:t>
      </w:r>
    </w:p>
    <w:p w14:paraId="36DC4C36" w14:textId="6E55821D" w:rsidR="00C6481A" w:rsidRPr="00E57CA9" w:rsidRDefault="00C6481A" w:rsidP="00F152B8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Przepisy dedykowane poszczególnym kategoriom operacji </w:t>
      </w:r>
      <w:r w:rsidR="007A7A55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zostały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ujęt</w:t>
      </w:r>
      <w:r w:rsidR="007A7A55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0457D4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F152B8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pięciu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osobnych </w:t>
      </w:r>
      <w:r w:rsidR="00F136A2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załącznikach do rozporządzenia.</w:t>
      </w:r>
    </w:p>
    <w:p w14:paraId="3C647B2D" w14:textId="77777777" w:rsidR="00C6481A" w:rsidRPr="00E57CA9" w:rsidRDefault="00C6481A" w:rsidP="00A11F6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 </w:t>
      </w:r>
      <w:r w:rsidR="00675CE2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rozporządzenia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określa </w:t>
      </w:r>
      <w:r w:rsidR="00727481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operacyjne wykonywania operacji z użyciem systemu bezzałogowego statku powietrznego w kategorii „otwartej”, o której mowa w art. 4 rozporządzenia nr 2019/947/UE</w:t>
      </w:r>
      <w:r w:rsidR="00F136A2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5D632BA" w14:textId="77777777" w:rsidR="00675CE2" w:rsidRPr="00E57CA9" w:rsidRDefault="00C6481A" w:rsidP="00A11F6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2 </w:t>
      </w:r>
      <w:r w:rsidR="00675CE2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rozporządzenia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określa </w:t>
      </w:r>
      <w:r w:rsidR="00727481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operacyjne wykonywania operacji z użyciem systemu bezzałogowego statku powietrznego, warunki eksploatacji systemu bezzałogowego statku powietrznego i wymagania dla tego systemu, w kategorii „szczególnej”, o której mowa w art. 5 rozporządzenia nr 2019/947/UE</w:t>
      </w:r>
      <w:r w:rsidR="00675CE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14:paraId="3565116B" w14:textId="77777777" w:rsidR="00C6481A" w:rsidRPr="00E57CA9" w:rsidRDefault="00675CE2" w:rsidP="00A11F6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Z</w:t>
      </w:r>
      <w:r w:rsidR="00C6481A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ałącznik nr 3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do rozporządzenia określa </w:t>
      </w:r>
      <w:r w:rsidR="00727481"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 xml:space="preserve">warunki operacyjne wykonywania operacji z użyciem systemu bezzałogowego statku powietrznego w kategorii „szczególnej”, o której mowa w art. 5 rozporządzenia nr 2019/947/UE, w ramach klubów </w:t>
      </w:r>
      <w:r w:rsidR="007A7A55"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lub</w:t>
      </w:r>
      <w:r w:rsidR="00727481"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 xml:space="preserve"> stowarzyszeń modelarstwa lotniczego</w:t>
      </w:r>
      <w:r w:rsidR="00C6481A"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.</w:t>
      </w:r>
    </w:p>
    <w:p w14:paraId="0159F57D" w14:textId="31BB171E" w:rsidR="00F152B8" w:rsidRPr="00E57CA9" w:rsidRDefault="00F152B8" w:rsidP="00A11F6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Załącznik nr 4 do rozporządzenia określa warunki operacyjne wykonywania operacji w zasięgu widoczności wzrokowej (VLOS) z użyciem systemu bezzałogowego statku powietrznego </w:t>
      </w:r>
      <w:r w:rsidR="004C14B9" w:rsidRPr="004C14B9">
        <w:rPr>
          <w:rFonts w:ascii="Times New Roman" w:eastAsia="Times New Roman" w:hAnsi="Times New Roman" w:cs="Arial"/>
          <w:sz w:val="24"/>
          <w:szCs w:val="24"/>
          <w:lang w:eastAsia="pl-PL"/>
        </w:rPr>
        <w:t>Agencji Bezpieczeństwa Wewnętrznego, Agencji Wywiadu, Służby Kontrwywiadu Wojskowego, Służby Wywiadu Wojskowego, Żandarmerii Wojskowej, Centralnego Biura Antykorupcyjnego, Służby Ochrony Państwa, Policji, Straży Granicznej, Państwowej Straży Pożarnej, Służby Celno-Skarbowej, Służby Więziennej, Państwowe Gospodarstwo Leśne Lasy Państwowe, Wodnego Ochotniczego Pogotowia Ratunkowego, Górskiego Ochotniczego Pogotowia Ratunkowego, Tatrzańskiego Ochotniczego Pogotowia Ratunkowego, operatorów infrastruktury krytycznej lub Inspekcji Ochrony Środowiska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14:paraId="732B780D" w14:textId="40A1406E" w:rsidR="00F152B8" w:rsidRPr="00E57CA9" w:rsidRDefault="00F152B8" w:rsidP="00F152B8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Załącznik nr 5 do rozporządzenia określa warunki operacyjne wykonywania operacji poza zasięgiem widoczności wzrokowej (BVLOS) z użyciem systemu bezzałogowego statku powietrznego</w:t>
      </w:r>
      <w:r w:rsidR="004C14B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</w:t>
      </w:r>
      <w:r w:rsidR="004C14B9" w:rsidRPr="004C14B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olicji, Żandarmerii Wojskowej, Służby Celno-Skarbowej, Wodnego Ochotniczego Pogotowia Ratunkowego, Górskiego Ochotniczego Pogotowia Ratunkowego, Tatrzańskiego Ochotniczego Pogotowia Ratunkowego oraz służb specjalnych, o których mowa w art. 11 ustawy z dnia 24 maja 2002 r. o Agencji Bezpieczeństwa Wewnętrznego oraz Agencji </w:t>
      </w:r>
      <w:r w:rsidR="004C14B9" w:rsidRPr="004C14B9">
        <w:rPr>
          <w:rFonts w:ascii="Times New Roman" w:eastAsia="Times New Roman" w:hAnsi="Times New Roman" w:cs="Arial"/>
          <w:sz w:val="24"/>
          <w:szCs w:val="24"/>
          <w:lang w:eastAsia="pl-PL"/>
        </w:rPr>
        <w:lastRenderedPageBreak/>
        <w:t>Wywiadu</w:t>
      </w:r>
      <w:bookmarkStart w:id="0" w:name="_GoBack"/>
      <w:bookmarkEnd w:id="0"/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14:paraId="65A97B0A" w14:textId="77777777" w:rsidR="0030020D" w:rsidRPr="00E57CA9" w:rsidRDefault="00675CE2" w:rsidP="00A11F6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załącznikach do rozporządzenia </w:t>
      </w:r>
      <w:r w:rsidR="0030020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wprowadza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się wyjaśnienie skrótów i określeń w nich</w:t>
      </w:r>
      <w:r w:rsidR="0030020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używan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ych</w:t>
      </w:r>
      <w:r w:rsidR="0030020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 Poza określeniami wynikającymi z przepisów rozporządzenia wykonawczego oraz ustawy – Prawo lotnicze</w:t>
      </w:r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="0030020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są to określenia dotychczas używane w przepisach krajowych regulujących szczegółowy sposób wykonywania operacji bezzałogowymi statkami powietrznymi oraz warunki eksploatacji bezzałogowych statków powietrznych tj. w załącznikach nr 6–6b do rozporządzenia Ministra Transportu i Gospodarki Morskiej z dnia 26 marca 2013 r. w sprawie wyłączenia zastosowania niektórych przepisów ustawy – Prawo lotnicze do niektórych rodzajów statków powietrznych oraz określenia warunków i wymagań dotyczących używania tych statków (Dz. U. z 2019 r. poz. 1497), wydanego na podstawie art. 33 ust. 2 i 4 ustawy – Praw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o lotnicze.</w:t>
      </w:r>
    </w:p>
    <w:p w14:paraId="31E21ECD" w14:textId="43E7DA1C" w:rsidR="00CF7FDB" w:rsidRPr="00E57CA9" w:rsidRDefault="00CF7FDB" w:rsidP="00F152B8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§ </w:t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7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projektu przewidziano, że rozporządzenie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wejdzie w życie z w dniu następującym po dniu ogłoszenia. W związku z rozpoczęciem stosowania od dnia 31 grudnia 2020 r. przepisów r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ozporządzenia wykonawczego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dniu 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30 grudnia 2020 r. zostały wydane wytyczne Prezesa Urzędu Lotnictwa Cywilnego zalecające wykonywanie operacji w określony w nich sposób. Jednocześnie </w:t>
      </w:r>
      <w:r w:rsidR="008A38C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wskazane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rozporządzeniu regulacje nie są zupełnie nowymi rozwiązaniami dla operatorów systemów bezzałogowych</w:t>
      </w:r>
      <w:r w:rsidR="008A38C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statków powietrznych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– bowiem są one podobne do 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rozwiązań uprzednio 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stosow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anych, ujętych w przepisach wydanych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na podstawie art. 33 ust.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2 i 4 ustawy – Prawo lotnicze.</w:t>
      </w:r>
    </w:p>
    <w:p w14:paraId="4AC47517" w14:textId="77777777" w:rsidR="00C6481A" w:rsidRPr="00E57CA9" w:rsidRDefault="00C6481A" w:rsidP="00267359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6DCCCC4B" w14:textId="77777777" w:rsidR="00267359" w:rsidRPr="00E57CA9" w:rsidRDefault="00267359" w:rsidP="0026735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Informacje związane z procedowaniem projektu </w:t>
      </w:r>
    </w:p>
    <w:p w14:paraId="64C64A63" w14:textId="77777777" w:rsidR="00267359" w:rsidRPr="00E57CA9" w:rsidRDefault="00267359" w:rsidP="002673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26209C98" w14:textId="77777777" w:rsidR="00C80D64" w:rsidRPr="00E57CA9" w:rsidRDefault="00C80D64" w:rsidP="00C80D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Regulacje zawarte w projektowanym rozporządzeniu nie stanowią przepisów technicznych w rozumieniu rozporządzenia Rady Ministrów z dnia 23 grudnia 2002 r. w sprawie sposobu funkcjonowania krajowego systemu notyfikacji norm i aktów prawnych (Dz. U. poz. 2039, z </w:t>
      </w:r>
      <w:proofErr w:type="spellStart"/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późn</w:t>
      </w:r>
      <w:proofErr w:type="spellEnd"/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 zm.), zatem nie podlega ona notyfikacji.</w:t>
      </w:r>
    </w:p>
    <w:p w14:paraId="4C244AE2" w14:textId="152C59CF" w:rsidR="00C80D64" w:rsidRPr="00E57CA9" w:rsidRDefault="00C80D64" w:rsidP="00C80D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Projekt nie wymaga przedłożenia właściwym organom </w:t>
      </w:r>
      <w:r w:rsidR="00E57CA9">
        <w:rPr>
          <w:rFonts w:ascii="Times New Roman" w:eastAsia="Times New Roman" w:hAnsi="Times New Roman" w:cs="Arial"/>
          <w:sz w:val="24"/>
          <w:szCs w:val="24"/>
          <w:lang w:eastAsia="pl-PL"/>
        </w:rPr>
        <w:t>i instytucjom</w:t>
      </w:r>
      <w:r w:rsidR="00E57CA9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Unii Europejskiej</w:t>
      </w:r>
      <w:r w:rsid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w tym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Europejskiemu Bankowi Centralnemu</w:t>
      </w:r>
      <w:r w:rsidR="00E57CA9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celu uzyskania opinii, dokonania konsultacji lub uzgodnienia, o których mowa w § 27 ust. 4 uchwały nr 190 Rady Ministrów z dnia 29 października 2013 r. – Regulamin </w:t>
      </w:r>
      <w:r w:rsidR="005A1113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pracy Rady Ministrów (M. P. 2022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poz. </w:t>
      </w:r>
      <w:r w:rsidR="005A1113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348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).</w:t>
      </w:r>
    </w:p>
    <w:p w14:paraId="2759ADE0" w14:textId="77777777" w:rsidR="00C80D64" w:rsidRPr="00E57CA9" w:rsidRDefault="00C80D64" w:rsidP="00C80D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Zgodnie z art. 5 ustawy z dnia 7 lipca 2005 r. o działalności lobbingowej w procesie stanowienia prawa (Dz. U. z 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2017 r. poz. 248) oraz s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tosownie do § 52 uchwały nr 190 Rady Ministrów z dnia 29 października 2013 r. – Regulamin pracy Rady Ministrów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projekt rozporządzenia zostanie udostępniony w Biuletynie Informacji Publicznej na stronie podmiotowej Rządowego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lastRenderedPageBreak/>
        <w:t>Centrum Legislacji, w serwisie Rządowy Proces Legislacyjny.</w:t>
      </w:r>
    </w:p>
    <w:p w14:paraId="367021D3" w14:textId="77777777" w:rsidR="00267359" w:rsidRPr="00E57CA9" w:rsidRDefault="00C80D64" w:rsidP="00C80D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Projekt rozporządzenia jest zgodny z prawem Unii Europejskiej.</w:t>
      </w:r>
    </w:p>
    <w:sectPr w:rsidR="00267359" w:rsidRPr="00E57CA9" w:rsidSect="0087550B">
      <w:headerReference w:type="default" r:id="rId7"/>
      <w:footnotePr>
        <w:numRestart w:val="eachSect"/>
      </w:footnotePr>
      <w:pgSz w:w="11906" w:h="16838"/>
      <w:pgMar w:top="1417" w:right="1417" w:bottom="1417" w:left="1417" w:header="709" w:footer="709" w:gutter="0"/>
      <w:cols w:space="708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74C9CA" w16cid:durableId="260A9D62"/>
  <w16cid:commentId w16cid:paraId="2E90A7E8" w16cid:durableId="260A9D63"/>
  <w16cid:commentId w16cid:paraId="2AC583AF" w16cid:durableId="260A9D64"/>
  <w16cid:commentId w16cid:paraId="4658DDA4" w16cid:durableId="260A9D65"/>
  <w16cid:commentId w16cid:paraId="779D1C10" w16cid:durableId="260A9D66"/>
  <w16cid:commentId w16cid:paraId="4D81A8FD" w16cid:durableId="260A9D67"/>
  <w16cid:commentId w16cid:paraId="2A5CD190" w16cid:durableId="260A9D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AC7C8" w14:textId="77777777" w:rsidR="00DD6A6C" w:rsidRDefault="00DD6A6C">
      <w:pPr>
        <w:spacing w:after="0" w:line="240" w:lineRule="auto"/>
      </w:pPr>
      <w:r>
        <w:separator/>
      </w:r>
    </w:p>
  </w:endnote>
  <w:endnote w:type="continuationSeparator" w:id="0">
    <w:p w14:paraId="0348A40D" w14:textId="77777777" w:rsidR="00DD6A6C" w:rsidRDefault="00DD6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736F6" w14:textId="77777777" w:rsidR="00DD6A6C" w:rsidRDefault="00DD6A6C">
      <w:pPr>
        <w:spacing w:after="0" w:line="240" w:lineRule="auto"/>
      </w:pPr>
      <w:r>
        <w:separator/>
      </w:r>
    </w:p>
  </w:footnote>
  <w:footnote w:type="continuationSeparator" w:id="0">
    <w:p w14:paraId="7F7178AD" w14:textId="77777777" w:rsidR="00DD6A6C" w:rsidRDefault="00DD6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691D0" w14:textId="06023898" w:rsidR="001A3215" w:rsidRPr="00B371CC" w:rsidRDefault="00C6481A" w:rsidP="001A3215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4C14B9">
      <w:rPr>
        <w:noProof/>
      </w:rPr>
      <w:t>5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26525"/>
    <w:multiLevelType w:val="hybridMultilevel"/>
    <w:tmpl w:val="147418D0"/>
    <w:lvl w:ilvl="0" w:tplc="1ECCD4F4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033CCC"/>
    <w:multiLevelType w:val="hybridMultilevel"/>
    <w:tmpl w:val="38E89C78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59"/>
    <w:rsid w:val="00022885"/>
    <w:rsid w:val="00024FB4"/>
    <w:rsid w:val="000457D4"/>
    <w:rsid w:val="00190299"/>
    <w:rsid w:val="001B44D1"/>
    <w:rsid w:val="001C6851"/>
    <w:rsid w:val="001F3425"/>
    <w:rsid w:val="00267359"/>
    <w:rsid w:val="002F0FA3"/>
    <w:rsid w:val="0030020D"/>
    <w:rsid w:val="00366BE6"/>
    <w:rsid w:val="003C5C9C"/>
    <w:rsid w:val="003E1A96"/>
    <w:rsid w:val="00416E0F"/>
    <w:rsid w:val="004754B7"/>
    <w:rsid w:val="004C14B9"/>
    <w:rsid w:val="004D0125"/>
    <w:rsid w:val="005308DF"/>
    <w:rsid w:val="005938B1"/>
    <w:rsid w:val="005A1113"/>
    <w:rsid w:val="006103B6"/>
    <w:rsid w:val="00617CE1"/>
    <w:rsid w:val="006565A6"/>
    <w:rsid w:val="00675CE2"/>
    <w:rsid w:val="00696690"/>
    <w:rsid w:val="006F2536"/>
    <w:rsid w:val="006F5091"/>
    <w:rsid w:val="00704A82"/>
    <w:rsid w:val="007079EE"/>
    <w:rsid w:val="00722782"/>
    <w:rsid w:val="00727481"/>
    <w:rsid w:val="00760F38"/>
    <w:rsid w:val="007A7A55"/>
    <w:rsid w:val="007F14FC"/>
    <w:rsid w:val="00870E48"/>
    <w:rsid w:val="008A38C8"/>
    <w:rsid w:val="008C27E9"/>
    <w:rsid w:val="008E0872"/>
    <w:rsid w:val="0090242A"/>
    <w:rsid w:val="00937B3D"/>
    <w:rsid w:val="00942CFB"/>
    <w:rsid w:val="00A11F61"/>
    <w:rsid w:val="00A60EB5"/>
    <w:rsid w:val="00A95584"/>
    <w:rsid w:val="00AE7ACD"/>
    <w:rsid w:val="00B041B5"/>
    <w:rsid w:val="00B13B46"/>
    <w:rsid w:val="00B26C2D"/>
    <w:rsid w:val="00C10DD6"/>
    <w:rsid w:val="00C6481A"/>
    <w:rsid w:val="00C80D64"/>
    <w:rsid w:val="00CF7FDB"/>
    <w:rsid w:val="00D47DC1"/>
    <w:rsid w:val="00DD2ED3"/>
    <w:rsid w:val="00DD6A6C"/>
    <w:rsid w:val="00DF18CB"/>
    <w:rsid w:val="00DF4DC6"/>
    <w:rsid w:val="00E57CA9"/>
    <w:rsid w:val="00EB1534"/>
    <w:rsid w:val="00ED4CA3"/>
    <w:rsid w:val="00EE2289"/>
    <w:rsid w:val="00F136A2"/>
    <w:rsid w:val="00F152B8"/>
    <w:rsid w:val="00F811D6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861B7"/>
  <w15:docId w15:val="{77C4904D-587F-4F06-9D67-6DFCFA24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3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67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7359"/>
  </w:style>
  <w:style w:type="paragraph" w:styleId="Akapitzlist">
    <w:name w:val="List Paragraph"/>
    <w:basedOn w:val="Normalny"/>
    <w:uiPriority w:val="34"/>
    <w:qFormat/>
    <w:rsid w:val="00267359"/>
    <w:pPr>
      <w:ind w:left="720"/>
      <w:contextualSpacing/>
    </w:pPr>
  </w:style>
  <w:style w:type="paragraph" w:customStyle="1" w:styleId="PKTpunkt">
    <w:name w:val="PKT – punkt"/>
    <w:uiPriority w:val="13"/>
    <w:qFormat/>
    <w:rsid w:val="00675CE2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C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C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C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C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C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1423</Words>
  <Characters>8540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Jaworska Dorota</dc:creator>
  <cp:lastModifiedBy>Porzycka Magdalena</cp:lastModifiedBy>
  <cp:revision>7</cp:revision>
  <dcterms:created xsi:type="dcterms:W3CDTF">2022-04-20T12:55:00Z</dcterms:created>
  <dcterms:modified xsi:type="dcterms:W3CDTF">2023-01-25T14:49:00Z</dcterms:modified>
</cp:coreProperties>
</file>